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Arial" w:cs="Arial" w:eastAsia="Arial" w:hAnsi="Arial"/>
          <w:b/>
          <w:bCs/>
          <w:color w:val="111827"/>
          <w:sz w:val="32"/>
          <w:szCs w:val="32"/>
        </w:rPr>
        <w:t xml:space="preserve">PROTOKÓŁ PRZEGLĄDU OŚWIETLENIA AWARYJNEGO I EWAKUACYJNEGO</w:t>
      </w:r>
    </w:p>
    <w:p>
      <w:pPr>
        <w:spacing w:after="280"/>
        <w:jc w:val="center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test funkcjonalny miesięczny · test pełny i przegląd roczny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2"/>
        <w:gridCol w:w="3402"/>
        <w:gridCol w:w="3401"/>
      </w:tblGrid>
      <w:tr>
        <w:trPr>
          <w:cantSplit/>
          <w:trHeight w:val="566" w:hRule="atLeast"/>
        </w:trPr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Nr protokołu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Data przeglądu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340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Termin następnego przeglądu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Wykonawca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NIP, adres, tel.</w:t>
            </w:r>
          </w:p>
        </w:tc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Klient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NIP, adres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5"/>
      </w:tblGrid>
      <w:tr>
        <w:trPr>
          <w:cantSplit/>
          <w:trHeight w:val="566" w:hRule="atLeast"/>
        </w:trPr>
        <w:tc>
          <w:tcPr>
            <w:tcW w:type="dxa" w:w="102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Obiekt / lokalizacja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adres, kondygnacja / strefa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Technik wykonujący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imię i nazwisko, kwalifikacje / autoryzacja</w:t>
            </w:r>
          </w:p>
        </w:tc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Przedstawiciel klienta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imię i nazwisko, stanowisko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Typ systemu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oprawy autonomiczne / centralna bateria / adresowalny z autotestem</w:t>
            </w:r>
          </w:p>
        </w:tc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Liczba opraw i znaków / czas pracy awaryjnej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szt. / 1h, 2h, 3h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2"/>
        <w:gridCol w:w="3402"/>
        <w:gridCol w:w="3401"/>
      </w:tblGrid>
      <w:tr>
        <w:trPr>
          <w:cantSplit/>
          <w:trHeight w:val="566" w:hRule="atLeast"/>
        </w:trPr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Przyrząd pomiarowy (luksomierz)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typ, nr, data wzorcowania</w:t>
            </w:r>
          </w:p>
        </w:tc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Nr dziennika oświetlenia awaryjnego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340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Data ostatniego testu pełnego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Wykaz opraw i znaków ewakuacyjnych</w:t>
      </w:r>
    </w:p>
    <w:tbl>
      <w:tblPr>
        <w:tblW w:type="dxa" w:w="10205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D1D5DB" w:sz="4"/>
          <w:insideV w:val="single" w:color="D1D5DB" w:sz="4"/>
        </w:tblBorders>
        <w:tblLayout w:type="fixed"/>
      </w:tblPr>
      <w:tblGrid>
        <w:gridCol w:w="434"/>
        <w:gridCol w:w="869"/>
        <w:gridCol w:w="1846"/>
        <w:gridCol w:w="1954"/>
        <w:gridCol w:w="1954"/>
        <w:gridCol w:w="1086"/>
        <w:gridCol w:w="1086"/>
        <w:gridCol w:w="976"/>
      </w:tblGrid>
      <w:tr>
        <w:trPr>
          <w:cantSplit/>
          <w:tblHeader/>
        </w:trPr>
        <w:tc>
          <w:tcPr>
            <w:tcW w:type="dxa" w:w="434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LP</w:t>
            </w:r>
          </w:p>
        </w:tc>
        <w:tc>
          <w:tcPr>
            <w:tcW w:type="dxa" w:w="869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NR OPRAWY</w:t>
            </w:r>
          </w:p>
        </w:tc>
        <w:tc>
          <w:tcPr>
            <w:tcW w:type="dxa" w:w="1846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LOKALIZACJA</w:t>
            </w:r>
          </w:p>
        </w:tc>
        <w:tc>
          <w:tcPr>
            <w:tcW w:type="dxa" w:w="1954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TYP OPRAWY / TRYB PRACY</w:t>
            </w:r>
          </w:p>
        </w:tc>
        <w:tc>
          <w:tcPr>
            <w:tcW w:type="dxa" w:w="1954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TEST / CZAS PODTRZYMANIA [MIN]</w:t>
            </w:r>
          </w:p>
        </w:tc>
        <w:tc>
          <w:tcPr>
            <w:tcW w:type="dxa" w:w="1086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NATĘŻENIE [LX]</w:t>
            </w:r>
          </w:p>
        </w:tc>
        <w:tc>
          <w:tcPr>
            <w:tcW w:type="dxa" w:w="1086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STAN AKUMULATORA</w:t>
            </w:r>
          </w:p>
        </w:tc>
        <w:tc>
          <w:tcPr>
            <w:tcW w:type="dxa" w:w="976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OCENA</w:t>
            </w:r>
          </w:p>
        </w:tc>
      </w:tr>
      <w:tr>
        <w:trPr>
          <w:cantSplit/>
          <w:trHeight w:val="425" w:hRule="atLeast"/>
        </w:trPr>
        <w:tc>
          <w:tcPr>
            <w:tcW w:type="dxa" w:w="43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6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4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95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95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8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8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7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3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6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4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95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95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8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8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7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3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6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4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95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95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8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8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7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3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6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4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95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95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8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8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7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3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6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4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95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95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8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8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7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3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6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4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95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95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8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8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7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3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6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4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95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95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8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8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7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3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6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4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95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95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8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8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7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Test funkcjonalny (cykl miesięczny)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06"/>
        <w:gridCol w:w="1133"/>
        <w:gridCol w:w="1133"/>
        <w:gridCol w:w="1133"/>
      </w:tblGrid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1. Symulacja zaniku napięcia i sprawdzenie samoczynnego załączenia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2. Sprawdzenie sygnalizacji stanu gotowości (dioda ładowania)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3. Kontrola wzrokowa opraw — uszkodzenia, zabrudzenie klosza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4. Sprawdzenie poprawności powrotu do stanu gotowości po teście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5. Wpis wyniku testu do dziennika oświetlenia awaryjnego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Przegląd roczny i test pełny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06"/>
        <w:gridCol w:w="1133"/>
        <w:gridCol w:w="1133"/>
        <w:gridCol w:w="1133"/>
      </w:tblGrid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1. Kompletność instalacji wg projektu / dokumentacji powykonawczej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2. Dostępność i czytelność dziennika oświetlenia awaryjnego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3. Test pełny — pomiar rzeczywistego czasu podtrzymania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4. Piktogramy znaków ewakuacyjnych zgodne z drogami ewakuacji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5. Widoczność znaków z wymaganej odległości obserwacji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6. Pomiar natężenia oświetlenia na drogach ewakuacyjnych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7. Stan akumulatorów oraz central / baterii centralnej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8. Oświetlenie przy urządzeniach ppoż. i punktach pierwszej pomocy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9. Działanie autotestu i odczyt historii zdarzeń (system adresowalny)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10. Wymiana źródeł światła i akumulatorów zakwalifikowanych do wymiany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11. Ustalenie terminu następnego testu funkcjonalnego i przeglądu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Wynik przeglądu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2"/>
        <w:gridCol w:w="3402"/>
        <w:gridCol w:w="3401"/>
      </w:tblGrid>
      <w:tr>
        <w:trPr>
          <w:cantSplit/>
          <w:trHeight w:val="566" w:hRule="atLeast"/>
        </w:trPr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Wynik ogólny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sprawna / sprawna z uwagami / niesprawna</w:t>
            </w:r>
          </w:p>
        </w:tc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Liczba opraw sprawnych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340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Liczba opraw do wymiany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Usterki, zalecenia i uwagi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2"/>
        <w:gridCol w:w="5103"/>
      </w:tblGrid>
      <w:tr>
        <w:trPr>
          <w:cantSplit/>
        </w:trPr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160"/>
            </w:tcMar>
          </w:tcPr>
          <w:p>
            <w:pPr>
              <w:spacing w:after="1247"/>
            </w:pPr>
          </w:p>
          <w:p>
            <w:pPr>
              <w:pBdr>
                <w:top w:val="single" w:color="9CA3AF" w:sz="4"/>
              </w:pBdr>
              <w:spacing w:after="20" w:before="40"/>
            </w:pPr>
            <w:r>
              <w:rPr>
                <w:rFonts w:ascii="Arial" w:cs="Arial" w:eastAsia="Arial" w:hAnsi="Arial"/>
                <w:color w:val="374151"/>
                <w:sz w:val="16"/>
                <w:szCs w:val="16"/>
              </w:rPr>
              <w:t xml:space="preserve">Wykonawca przeglądu</w:t>
            </w:r>
          </w:p>
          <w:p>
            <w:r>
              <w:rPr>
                <w:rFonts w:ascii="Arial" w:cs="Arial" w:eastAsia="Arial" w:hAnsi="Arial"/>
                <w:i/>
                <w:iCs/>
                <w:color w:val="9CA3AF"/>
                <w:sz w:val="14"/>
                <w:szCs w:val="14"/>
              </w:rPr>
              <w:t xml:space="preserve">imię i nazwisko, uprawnienia eksploatacyjne / autoryzacja</w:t>
            </w:r>
          </w:p>
        </w:tc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160"/>
            </w:tcMar>
          </w:tcPr>
          <w:p>
            <w:pPr>
              <w:spacing w:after="1247"/>
            </w:pPr>
          </w:p>
          <w:p>
            <w:pPr>
              <w:pBdr>
                <w:top w:val="single" w:color="9CA3AF" w:sz="4"/>
              </w:pBdr>
              <w:spacing w:after="20" w:before="40"/>
            </w:pPr>
            <w:r>
              <w:rPr>
                <w:rFonts w:ascii="Arial" w:cs="Arial" w:eastAsia="Arial" w:hAnsi="Arial"/>
                <w:color w:val="374151"/>
                <w:sz w:val="16"/>
                <w:szCs w:val="16"/>
              </w:rPr>
              <w:t xml:space="preserve">Przedstawiciel klienta</w:t>
            </w:r>
          </w:p>
          <w:p>
            <w:r>
              <w:rPr>
                <w:rFonts w:ascii="Arial" w:cs="Arial" w:eastAsia="Arial" w:hAnsi="Arial"/>
                <w:i/>
                <w:iCs/>
                <w:color w:val="9CA3AF"/>
                <w:sz w:val="14"/>
                <w:szCs w:val="14"/>
              </w:rPr>
              <w:t xml:space="preserve">imię i nazwisko, stanowisko</w:t>
            </w:r>
          </w:p>
        </w:tc>
      </w:tr>
    </w:tbl>
    <w:sectPr>
      <w:headerReference w:type="default" r:id="rId7"/>
      <w:footerReference w:type="default" r:id="rId8"/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Arial" w:cs="Arial" w:eastAsia="Arial" w:hAnsi="Arial"/>
        <w:color w:val="6B7280"/>
        <w:sz w:val="14"/>
        <w:szCs w:val="14"/>
      </w:rPr>
      <w:t xml:space="preserve">Podstawa: § 3 ust. 2–3 rozp. MSWiA z 7.06.2010 — przegląd nie rzadziej niż raz w roku · PN-EN 50172 — systemy awaryjnego oświetlenia ewakuacyjnego · PN-EN 1838</w:t>
    </w:r>
  </w:p>
  <w:p>
    <w:r>
      <w:rPr>
        <w:rFonts w:ascii="Arial" w:cs="Arial" w:eastAsia="Arial" w:hAnsi="Arial"/>
        <w:color w:val="9CA3AF"/>
        <w:sz w:val="13"/>
        <w:szCs w:val="13"/>
      </w:rPr>
      <w:t xml:space="preserve">Wzór: ppozmanager.pl</w:t>
    </w:r>
    <w:r>
      <w:rPr>
        <w:rFonts w:ascii="Arial" w:cs="Arial" w:eastAsia="Arial" w:hAnsi="Arial"/>
        <w:color w:val="6B7280"/>
        <w:sz w:val="13"/>
        <w:szCs w:val="13"/>
      </w:rPr>
      <w:ptab w:alignment="right" w:relativeTo="margin" w:leader="none"/>
      <w:t xml:space="preserve">Strona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PPOŻ Manager · ppozmanager.pl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przeglądu oświetlenia awaryjnego i ewakuacyjnego</dc:title>
  <dc:creator>PPOŻ Manager (ppozmanager.pl)</dc:creator>
  <dc:description>Wzór protokołu — Protokół przeglądu oświetlenia awaryjnego i ewakuacyjnego</dc:description>
  <cp:lastModifiedBy>Un-named</cp:lastModifiedBy>
  <cp:revision>1</cp:revision>
  <dcterms:created xsi:type="dcterms:W3CDTF">2026-09-07T19:02:23.231Z</dcterms:created>
  <dcterms:modified xsi:type="dcterms:W3CDTF">2026-09-07T19:02:23.231Z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